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FD38">
      <w:pPr>
        <w:spacing w:line="578" w:lineRule="exact"/>
        <w:jc w:val="left"/>
        <w:rPr>
          <w:rFonts w:ascii="方正小标宋简体" w:hAnsi="方正小标宋简体" w:eastAsia="方正小标宋简体" w:cs="仿宋_GB2312"/>
          <w:b/>
          <w:bCs/>
          <w:sz w:val="40"/>
          <w:szCs w:val="40"/>
        </w:rPr>
      </w:pPr>
    </w:p>
    <w:p w14:paraId="7D6CA2F6">
      <w:pPr>
        <w:spacing w:line="578" w:lineRule="exact"/>
        <w:jc w:val="center"/>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菏泽学院2024年度中外合作办学项目</w:t>
      </w:r>
    </w:p>
    <w:p w14:paraId="024EC9FF">
      <w:pPr>
        <w:spacing w:line="578" w:lineRule="exact"/>
        <w:jc w:val="center"/>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办学报告</w:t>
      </w:r>
    </w:p>
    <w:p w14:paraId="7C4C13AB">
      <w:pPr>
        <w:spacing w:line="578" w:lineRule="exact"/>
        <w:rPr>
          <w:rFonts w:ascii="黑体" w:hAnsi="黑体" w:eastAsia="黑体" w:cs="黑体"/>
          <w:sz w:val="32"/>
          <w:szCs w:val="32"/>
        </w:rPr>
      </w:pPr>
    </w:p>
    <w:p w14:paraId="5CCCF1A0">
      <w:pPr>
        <w:spacing w:line="578" w:lineRule="exact"/>
        <w:ind w:firstLine="640"/>
        <w:rPr>
          <w:rFonts w:ascii="黑体" w:hAnsi="黑体" w:eastAsia="黑体" w:cs="黑体"/>
          <w:sz w:val="32"/>
          <w:szCs w:val="32"/>
        </w:rPr>
      </w:pPr>
      <w:r>
        <w:rPr>
          <w:rFonts w:hint="eastAsia" w:ascii="黑体" w:hAnsi="黑体" w:eastAsia="黑体" w:cs="黑体"/>
          <w:sz w:val="32"/>
          <w:szCs w:val="32"/>
        </w:rPr>
        <w:t>一、办学基本情况</w:t>
      </w:r>
    </w:p>
    <w:p w14:paraId="35EA8E9D">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菏泽学院与白俄罗斯戈梅利国立大学合作举办物理学专业本科教育项目是经教育部审批备案（批准书编号MOE37BY2A20222255N）的全日制统招本科项目，专业代码070201H，旨在整合中外优质教育资源，培养具备国际视野的复合型物理学人才，于2022年正式招生，招生起止年份为2022年—2026年，有效期至2030年12月31日。</w:t>
      </w:r>
    </w:p>
    <w:p w14:paraId="08421A05">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托两校优质教育资源，打造国际化物理学人才培养平台，聚焦师范类与科研应用类复合能力培育，兼顾国内就业与海外深造需求。培养德智体美劳全面发展，具备扎实物理学科基础理论，掌握先进教育理念与方法，社会责任感强、富有人文素养，兼具国际视野与创新能力的复合型人才。</w:t>
      </w:r>
    </w:p>
    <w:p w14:paraId="4F53988D">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培养方案与教学计划由中外双方共同制定，深度整合双方课程体系与教学优势，国内阶段引进外方师资12人、专业核心课程17门，涵盖力学、电磁学、量子力学等核心领域，同时强化英语能力培养并开设俄语课程，包含科研训练、教育实习、电子综合设计实训等实践性环节，符合双方人才培养标准。</w:t>
      </w:r>
    </w:p>
    <w:p w14:paraId="68736C60">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继续面向山东省招收师范类学生，纳入国家普通高等教育统招计划，录取100人，实际报到98人，与菏泽学院普通中国籍学生执行相同招生政策和标准。目前暂无完整毕业周期学生，毕业生可选择考研深造、考取教师编制或从事应用技术研发工作。</w:t>
      </w:r>
    </w:p>
    <w:p w14:paraId="62C88282">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当前在校学生规模287人（含2022级、2023级、2024级学生），中方师资来自菏泽学院物理与电子工程学院，由16名专任教师构成，其中教授4人、副教授</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人，博士10人；外方师资来自戈梅利国立大学物理与信息技术学院，由12名专任教师构成，均为博士。</w:t>
      </w:r>
    </w:p>
    <w:p w14:paraId="7C2D30D0">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2024年10月，经教育部审批，项目法定代表人由姜同松变更为孙建昌，其他核心办学信息无变更。该项目自2022年首届招生，暂无专项评估不合格记录，批准书有效期至2030年。</w:t>
      </w:r>
    </w:p>
    <w:p w14:paraId="2FB3E44B">
      <w:pPr>
        <w:spacing w:line="578" w:lineRule="exact"/>
        <w:ind w:firstLine="640"/>
        <w:rPr>
          <w:rFonts w:ascii="黑体" w:hAnsi="黑体" w:eastAsia="黑体" w:cs="黑体"/>
          <w:sz w:val="32"/>
          <w:szCs w:val="32"/>
        </w:rPr>
      </w:pPr>
      <w:r>
        <w:rPr>
          <w:rFonts w:hint="eastAsia" w:ascii="黑体" w:hAnsi="黑体" w:eastAsia="黑体" w:cs="黑体"/>
          <w:sz w:val="32"/>
          <w:szCs w:val="32"/>
        </w:rPr>
        <w:t>二、党建思政工作情况</w:t>
      </w:r>
    </w:p>
    <w:p w14:paraId="5BE88DF6">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依托物理与电子工程学院党委开展党建工作，将党的领导贯穿办学全过程，牢牢把握社会主义办学方向。通过完善党建与业务融合机制，把党建要求融入项目招生、教学管理、人才培养等关键环节，确保中外合作办学始终服务于立德树人根本任务。</w:t>
      </w:r>
    </w:p>
    <w:p w14:paraId="12F4ECB1">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严格落实意识形态工作责任制，筑牢课堂、网络等关键阵地防线。建立外方教材、授课内容政治审核机制，确保教学导向正确。通过官方微信公众号、专题讲座等平台加强正面宣传，及时回应师生思想关切，畅通诉求表达渠道。</w:t>
      </w:r>
    </w:p>
    <w:p w14:paraId="0A7E537B">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构建“思政课+课程思政+第二课堂+实践育人”四位一体思政教育体系。将思政元素融入专业教学，结合物理学专业特点挖掘科学精神、家国情怀等育人资源，开展“奋进新征程，共筑强国梦”主题教育、传统文化艺术节等活动68次，组织志愿服务98次，厚植学生爱国情怀与社会责任感。依托学分互认、学生交换等国际交流平台，引导学生在跨文化交流中讲好中国故事，培养兼具国际视野与家国情怀的复合型人才。</w:t>
      </w:r>
    </w:p>
    <w:p w14:paraId="29752C86">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将师德师风建设作为教师队伍建设核心，把政治素养纳入教师培训与考核重点。定期组织教师学习习近平新时代中国特色社会主义思想、教育法律法规，开展教学能力提升工作坊、先进典型宣讲等活动，坚定教师理想信念，实施教授授课制度，通过督导听课、教研室互评等机制，规范教学行为，弘扬求真务实的治学风气。</w:t>
      </w:r>
    </w:p>
    <w:p w14:paraId="10916035">
      <w:pPr>
        <w:spacing w:line="578"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依托物理与电子工程学院党委开展工作，未单独设立项目专属党支部，无单独党员统计数据。该院在职在编教师58人，党员队伍纳入学院统一管理，参照学院2024年数据，新发展入党积极分子32名，项目学生积极分子培养统一由学院党委组织实施。</w:t>
      </w:r>
    </w:p>
    <w:p w14:paraId="3FF6A6B9">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目前，党建思政工作仍存在</w:t>
      </w:r>
      <w:r>
        <w:rPr>
          <w:rFonts w:hint="eastAsia" w:ascii="仿宋_GB2312" w:hAnsi="仿宋_GB2312" w:eastAsia="仿宋_GB2312" w:cs="仿宋_GB2312"/>
          <w:bCs/>
          <w:sz w:val="32"/>
          <w:szCs w:val="32"/>
        </w:rPr>
        <w:t>与项目业务融合不够</w:t>
      </w:r>
      <w:r>
        <w:rPr>
          <w:rFonts w:hint="eastAsia" w:ascii="仿宋_GB2312" w:hAnsi="仿宋_GB2312" w:eastAsia="仿宋_GB2312" w:cs="仿宋_GB2312"/>
          <w:bCs/>
          <w:sz w:val="32"/>
          <w:szCs w:val="32"/>
          <w:lang w:eastAsia="zh-CN"/>
        </w:rPr>
        <w:t>的问题</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另外，</w:t>
      </w:r>
      <w:r>
        <w:rPr>
          <w:rFonts w:hint="eastAsia" w:ascii="仿宋_GB2312" w:hAnsi="仿宋_GB2312" w:eastAsia="仿宋_GB2312" w:cs="仿宋_GB2312"/>
          <w:bCs/>
          <w:sz w:val="32"/>
          <w:szCs w:val="32"/>
        </w:rPr>
        <w:t>党建活动形式与国际化人才培养需求适配性</w:t>
      </w:r>
      <w:r>
        <w:rPr>
          <w:rFonts w:hint="eastAsia" w:ascii="仿宋_GB2312" w:hAnsi="仿宋_GB2312" w:eastAsia="仿宋_GB2312" w:cs="仿宋_GB2312"/>
          <w:bCs/>
          <w:sz w:val="32"/>
          <w:szCs w:val="32"/>
          <w:lang w:eastAsia="zh-CN"/>
        </w:rPr>
        <w:t>有待完善</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下一步将继续</w:t>
      </w:r>
      <w:r>
        <w:rPr>
          <w:rFonts w:hint="eastAsia" w:ascii="仿宋_GB2312" w:hAnsi="仿宋_GB2312" w:eastAsia="仿宋_GB2312" w:cs="仿宋_GB2312"/>
          <w:bCs/>
          <w:sz w:val="32"/>
          <w:szCs w:val="32"/>
        </w:rPr>
        <w:t>优化党建组织设置，探索建立项目特色党支部，推动党建与教学、科研、国际交流深度融合，创新学生党建工作形式，采用线上线下结合、校内实践与国际交流联动的方式开展党课，细化党员发展流程，提升学生参与积极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严格落实学校思政课建设要求，构建了包含必修课与选修课的完整思政课程体系，与学校统一教学标准保持一致，确保开足开齐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课程体系中明确设置《习近平新时代中国特色社会主义思想概论》为必修课程（3学分48学时），同时开设《习近平经济思想概论》《习近平法治思想概论》等选修课程，全面覆盖相关教学要求。</w:t>
      </w:r>
    </w:p>
    <w:p w14:paraId="2418BD54">
      <w:pPr>
        <w:spacing w:line="578" w:lineRule="exact"/>
        <w:ind w:firstLine="640"/>
        <w:rPr>
          <w:rFonts w:ascii="黑体" w:hAnsi="黑体" w:eastAsia="黑体" w:cs="黑体"/>
          <w:sz w:val="32"/>
          <w:szCs w:val="32"/>
        </w:rPr>
      </w:pPr>
      <w:r>
        <w:rPr>
          <w:rFonts w:hint="eastAsia" w:ascii="黑体" w:hAnsi="黑体" w:eastAsia="黑体" w:cs="黑体"/>
          <w:sz w:val="32"/>
          <w:szCs w:val="32"/>
        </w:rPr>
        <w:t>三、教育教学工作情况</w:t>
      </w:r>
    </w:p>
    <w:p w14:paraId="0C61C985">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构建“中方通识+专业基础+双方核心课程”三位一体的课程体系，覆盖通识教育、学科基础、专业核心、实践实训四大模块。两学期共开设专业核心课12门、实践课4门、语言课（英语+俄语）2门；引进外方专业课程12门，覆盖数学物理方法、电动力学等主干课，采用“3+1”培养模式，前三年国内学习、第四年可选赴白俄罗斯就读。</w:t>
      </w:r>
    </w:p>
    <w:p w14:paraId="700E5952">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引进的外方课程占合作办学项目全部课程比例为33.33%(17/51)；合作办学引进的专业核心课程占合作办学项目全部核心课程的比例为62.96%(17/27)；外方教师承担的专业核心课程门数占合作办学项目全部课程比例为33.33%(17/51)；外方教师承担的专业核心课程教学时数占合作办学项目全部教学时数的比例为33.52%(944/2816)。</w:t>
      </w:r>
    </w:p>
    <w:p w14:paraId="65AEB67D">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方师资均为物理与电子工程学院骨干教师，含教授4人、副教授5人、博士10人，主讲基础课与教师教育类课程。戈梅利国立大学选派12名专任教师，均为博士，主讲核心课程，覆盖理论物理、凝聚态物理等方向，教学与科研经验丰富。</w:t>
      </w:r>
    </w:p>
    <w:p w14:paraId="799DA827">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中方教师需具备双语授课能力，优先有海外经历者。外方教师需经中方资质审核，并纳入中方教学能力，每学期4-5名教师来华授课并作学术讲座。</w:t>
      </w:r>
    </w:p>
    <w:p w14:paraId="3019F99E">
      <w:pPr>
        <w:spacing w:line="578" w:lineRule="exact"/>
        <w:ind w:firstLine="640"/>
        <w:rPr>
          <w:rFonts w:ascii="黑体" w:hAnsi="黑体" w:eastAsia="黑体" w:cs="黑体"/>
          <w:sz w:val="32"/>
          <w:szCs w:val="32"/>
        </w:rPr>
      </w:pPr>
      <w:r>
        <w:rPr>
          <w:rFonts w:hint="eastAsia" w:ascii="黑体" w:hAnsi="黑体" w:eastAsia="黑体" w:cs="黑体"/>
          <w:sz w:val="32"/>
          <w:szCs w:val="32"/>
        </w:rPr>
        <w:t>四、人才培养成效情况</w:t>
      </w:r>
    </w:p>
    <w:p w14:paraId="15D32ABD">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重视海外优质教育资源的引进、吸收、融合和利用，在培养过程中注重中外双方课程的融合衔接。在培养目标达成、学生发展支持体系建设、国际视野与跨文化交流能力培养等方面取得显著成效，通过常态化评估与反馈机制持续提升人才培养质量。</w:t>
      </w:r>
    </w:p>
    <w:p w14:paraId="3D17C8F9">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物理学专业人才培养目标定位为培养掌握物理学科基础知识、基本理论与基本技能，熟悉国外先进教育理念和教育方法，具有良好社会责任感和人文素养、较强创新能力和国际化视野的高素质、多元化、复合型物理专门人才。该专业于2024年10月通过教育部师范专业认证后，学校结合专家整改意见，从国家战略需求、教育体系变革和技术革命浪潮三个维度对人才培养方案进行了进一步的修订，突出了以师范技能培养强化为特色的“新工科+新师范”融合育人模式，注重培养兼具科研素养与跨学科教学能力、“专业知识+外语能力+国际视野”扎实的“合格中学教师”。</w:t>
      </w:r>
    </w:p>
    <w:p w14:paraId="770F0FF6">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引进国外教学资源的过程中，物理学专业在课程设置、教学内容与目标设定、教学大纲制定、教学方法与手段选择、课程考核等多个方面积极探索、不断总结。项目建立了完善的教学质量监控体系，依托校院两级教学督导，定期开展教学调研、评价和督导活动，监督教学全过程。</w:t>
      </w:r>
    </w:p>
    <w:p w14:paraId="5B56B8FF">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实施个性化辅导模式，针对课程难点、语言适应等问题制定专项辅导方案，加强课后答疑和学风管理。实施精准育人的学业导师制度，学生入学后即按专业方向分配专业教师，实行精细化专业教学与学术指导。教师不仅负责提升学生的专业技能水平，还带领学生参与科研项目、教育见习实习研习等活动，深度激发学生的专业研究热情。构建文化交融平台，打造中外文化交融空间、文化走廊等育人载体，强化文化认同教育。</w:t>
      </w:r>
    </w:p>
    <w:p w14:paraId="4406690C">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通过英语训练营和全英文教学提高学生国际交流能力。学生从大一开始，零起点学习俄语，寒暑假组织语言集训，强化培训和学习效果。针对中外合作办学特点，在雅思英语课程中融入专门用途英语（ESP），构建“专业+英语”融合模式。注重课程衔接与知识融合，采用“中方先导+外方进阶”课程模式。在外方课程开设前，中方教学团队会提前梳理专业术语、预判语言难点，利用教学过程中积累的素材，准备编撰教辅材料，用于前置语言预习指导，努力解决学生的听课障碍，为其高效吸收外方优质专业资源提供坚实保障。</w:t>
      </w:r>
    </w:p>
    <w:p w14:paraId="016497B9">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方课程由白俄教师使用英文教材、进行英文授课，配备中方助教跟踪听课和课后答疑。外方教师结合最新研究成果开设专题研讨课，促进双方在专业技能和教学理念方法等方面的交流和碰撞，提升学生的物理学素养和跨文化理解交流能力。积极举办国际交流活动，定期组织双方校领导、教师来校互访，组织学生参与国际会议、竞赛、文化展览等活动，提升学生的跨文化沟通能力。</w:t>
      </w:r>
    </w:p>
    <w:p w14:paraId="1CAA95D7">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高度重视学生国际化培养，构建多渠道国际交流平台，选派有留学背景、熟悉出国流程的教师一对一指导，为学生出国交流提供帮助。鼓励在校生到国外交流学习，通过对各类实验、实习、社会调查、毕业论文、创新创业和课外科技活动等实践性教学环节进行整体优化，形成了由基础训练、专业实践、创新创业训练、素质拓展和综合实践组成的“五位一体”阶梯化实践教学体系。实施“以赛促学、以赛促练”计划，贯通“赛-教-研”培养链，突出学生创新精神和实践能力培养。</w:t>
      </w:r>
    </w:p>
    <w:p w14:paraId="74076DFE">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生在完成规定学分后，凭借其扎实的专业基础和国际化的教育理念，了解行业的国际发展现状和趋势，能够为中小学物理课堂带来新颖的教学方法和丰富的教学内容，满足学生多元化学习需求，在中小学物理教师招聘中具有较强的竞争力。项目学生具备国际教育背景和外语能力，申请海外硕士也具有明显优势。在海外深造期间，学生能够进一步提升专业水平，接触更前沿的物理学研究成果，为未来回国或在国际物理学领域发展奠定更坚实的基础。通过国际化模式培养、实习实践、竞赛获奖等，物理学专业毕业生将会在科研机构、中等教育机构、跨国企业、国际组织等领域受到欢迎。</w:t>
      </w:r>
    </w:p>
    <w:p w14:paraId="55347055">
      <w:pPr>
        <w:numPr>
          <w:ilvl w:val="0"/>
          <w:numId w:val="1"/>
        </w:numPr>
        <w:spacing w:line="578" w:lineRule="exact"/>
        <w:ind w:firstLine="640"/>
        <w:rPr>
          <w:rFonts w:hint="eastAsia" w:ascii="黑体" w:hAnsi="黑体" w:eastAsia="黑体" w:cs="黑体"/>
          <w:sz w:val="32"/>
          <w:szCs w:val="32"/>
        </w:rPr>
      </w:pPr>
      <w:r>
        <w:rPr>
          <w:rFonts w:hint="eastAsia" w:ascii="黑体" w:hAnsi="黑体" w:eastAsia="黑体" w:cs="黑体"/>
          <w:sz w:val="32"/>
          <w:szCs w:val="32"/>
        </w:rPr>
        <w:t>财务管理情况</w:t>
      </w:r>
    </w:p>
    <w:p w14:paraId="127428C4">
      <w:pPr>
        <w:spacing w:line="578"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见附件</w:t>
      </w:r>
      <w:r>
        <w:rPr>
          <w:rFonts w:hint="eastAsia" w:ascii="仿宋_GB2312" w:hAnsi="仿宋_GB2312" w:eastAsia="仿宋_GB2312" w:cs="仿宋_GB2312"/>
          <w:bCs/>
          <w:sz w:val="32"/>
          <w:szCs w:val="32"/>
        </w:rPr>
        <w:t>2024年度菏泽学院与白俄罗斯戈梅利国立大学合作举办物理学专业本科教育项目审计报告</w:t>
      </w:r>
      <w:r>
        <w:rPr>
          <w:rFonts w:hint="eastAsia" w:ascii="仿宋_GB2312" w:hAnsi="仿宋_GB2312" w:eastAsia="仿宋_GB2312" w:cs="仿宋_GB2312"/>
          <w:bCs/>
          <w:sz w:val="32"/>
          <w:szCs w:val="32"/>
          <w:lang w:eastAsia="zh-CN"/>
        </w:rPr>
        <w:t>）</w:t>
      </w:r>
    </w:p>
    <w:p w14:paraId="00762D6C">
      <w:pPr>
        <w:spacing w:line="578" w:lineRule="exact"/>
        <w:ind w:firstLine="640"/>
        <w:rPr>
          <w:rFonts w:ascii="黑体" w:hAnsi="黑体" w:eastAsia="黑体" w:cs="黑体"/>
          <w:sz w:val="32"/>
          <w:szCs w:val="32"/>
        </w:rPr>
      </w:pPr>
      <w:r>
        <w:rPr>
          <w:rFonts w:hint="eastAsia" w:ascii="黑体" w:hAnsi="黑体" w:eastAsia="黑体" w:cs="黑体"/>
          <w:sz w:val="32"/>
          <w:szCs w:val="32"/>
        </w:rPr>
        <w:t>六、组织管理情况</w:t>
      </w:r>
    </w:p>
    <w:p w14:paraId="6BEB41A6">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项目严格遵循《中华人民共和国中外合作办学条例》要求，构建“联合决策、分工负责、协同高效”的管理体系，在体制机制、制度建设、管理服务、就业推动等方面稳步推进，确保合作办学规范有序运行。</w:t>
      </w:r>
    </w:p>
    <w:p w14:paraId="093A7492">
      <w:pPr>
        <w:spacing w:line="578"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构建完备制度体系，围绕办学核心环节，制定涵盖招生管理、课程设置、师资聘任、质量监控、学籍学位、收费退费、安全管理等方面的20余项规章制度，形成《中外合作办学项目管理制度汇编》，实现“事事有制度可依、流程有规范可循”。严格制度执行与监督，建立制度执行情况定期核查机制，动态优化制度内容，结合教育部监管要求、学科发展趋势及教学反馈，每年对制度体系进行评估修订，提升制度适配性与时效性。</w:t>
      </w:r>
    </w:p>
    <w:p w14:paraId="086591B0">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配备专职管理人员，负责对接课程衔接、师资调度等事宜，形成“中外互补、专兼结合”的管理队伍。提供全流程学生服务，构建“学业指导+生活服务+跨境支持”三位一体服务体系，学业上开设语言辅导班、专业答疑坊，配备中外双导师跟踪指导，生活中建立“辅导员+班主任+宿管”联动机制，及时解决学生诉求，提供出境签证办理、境外住宿安排、行前培训等一站式服务，助力学生顺利适应境外学习。</w:t>
      </w:r>
    </w:p>
    <w:p w14:paraId="2DEC321A">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强化就业能力精准培养，将就业指导融入人才培养全过程，开设职业规划、简历制作、面试技巧等课程，组织跨境职场体验、科研项目实践等活动，提升学生国际竞争力与就业适配性。</w:t>
      </w:r>
    </w:p>
    <w:p w14:paraId="4BB3DB90">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然而，项目的联合管理协同效率有待提升。中外双方存在时区差异、沟通渠道不够便捷，部分跨校协作事项（如学分互认复核、外方师资调度）办理周期较长。下一步，将优化联合管理协同机制，搭建跨境协同管理数字化平台，实现课程对接、学分审核、师资沟通等事项线上高效办理；缩短管委会会议间隔，建立重大事项实时沟通机制，提升决策与执行效率。加强管理团队专业化建设，建立管理团队境外轮训机制，每年安排半数以上管理人员赴外方院校交流学习；邀请跨境教育管理专家、行业资深人士开展专题培训，提升团队跨境服务与应急处置能力。</w:t>
      </w:r>
    </w:p>
    <w:p w14:paraId="79C77711">
      <w:pPr>
        <w:spacing w:line="578" w:lineRule="exact"/>
        <w:ind w:firstLine="640"/>
        <w:rPr>
          <w:rFonts w:ascii="黑体" w:hAnsi="黑体" w:eastAsia="黑体" w:cs="黑体"/>
          <w:sz w:val="32"/>
          <w:szCs w:val="32"/>
        </w:rPr>
      </w:pPr>
      <w:r>
        <w:rPr>
          <w:rFonts w:hint="eastAsia" w:ascii="黑体" w:hAnsi="黑体" w:eastAsia="黑体" w:cs="黑体"/>
          <w:sz w:val="32"/>
          <w:szCs w:val="32"/>
        </w:rPr>
        <w:t>七、依法办学及办学规范性情况</w:t>
      </w:r>
    </w:p>
    <w:p w14:paraId="095C11B4">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恪守《中华人民共和国中外合作办学条例》《中外合作办学条例实施办法》等法律法规，坚守教育公益性原则，强化教育主权与意识形态阵地管理，在资质审批、招生收费、教学管理、学籍学位、教材使用等关键环节规范运作，经校内常态化监管与专项核查，办学全过程合法合规、公开透明。</w:t>
      </w:r>
    </w:p>
    <w:p w14:paraId="201764B4">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质审批规范。项目经教育部严格审批备案（批准书编号MOE37BY2A20222255N，专业代码070201H），招生起止年份、办学有效期等核心信息明确，所有办学活动均在审批范围及有效期内开展，无超范围办学、擅自变更办学层次或合作年限等违规行为。与戈梅利国立大学签订规范的合作办学协议，明确双方在人才培养、课程设置、师资选派、质量监控、费用分摊、争议解决等方面的权利与义务，协议内容符合我国教育政策要求，保障合作双方及学生的合法权益，为项目规范运行提供坚实法律依据。</w:t>
      </w:r>
    </w:p>
    <w:p w14:paraId="35B5A541">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招生收费合规，坚守公益办学导向，规范招生录取流程。招生纳入国家普通高等教育统招计划，严格执行同地区同批次录取政策，与菏泽学院普通专业遵循一致的招生标准，公开招生计划、录取规则、投档分数线及录取结果，无虚假宣传、违规降分、超计划招生或委托中介参与招生等行为，确保招生公平公正。严格收费管理标准，遵循成本补偿与公益性原则，国内阶段2.2万元/生/年的学费标准向社会公示，境外阶段学费标准提前告知学生及家长，明确收费项目、标准及退费流程，无乱收费、高收费或变相增收现象，收费资金实行专款专用，接受财务部门全程监管。</w:t>
      </w:r>
    </w:p>
    <w:p w14:paraId="685B0289">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教学管理规范，保障教育教学质量。课程与师资管理合规，课程体系严格落实立德树人根本任务，思想政治理论课按要求足额开设，外方核心课程内容经审核无违背我国教育方针和意识形态的表述，外方授课教师均具备合法教学资质，经学校审核备案后聘任，授课时长与质量符合合作协议要求，无擅自变更外方师资或降低师资标准的情况。教材选用审核严格，建立境外教材“提前审核+同步备案”机制，组建由思政教师、学科专家、中外教师组成的审核工作组，在开学前3个月完成外方教材内容审查，重点核查意识形态、学科适配性等核心要素，审核通过后按规定向教育行政部门备案，严禁使用未经审核或备案的境外教材，无盗版教材使用情况。培养模式执行到位，严格按照“3+1”执行培养计划，无擅自变更学制、学分要求或核心教学环节的行为；学分互认规则明确，学生在中外双方修读的课程学分经审核后可按规定互认，确保培养标准与合作协议一致。</w:t>
      </w:r>
    </w:p>
    <w:p w14:paraId="370BCD7F">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籍学位规范，维护学生合法权益，学籍管理严谨。学生学籍同时在菏泽学院与戈梅利国立大学注册备案，遵守双方校规校纪，学籍异动（转学、休学、退学等）按程序办理并及时报备，与普通专业学生执行统一的学籍管理标准，无违规学籍操作行为。学位授予合规：严格执行双学位授予标准，学生需同时满足中方毕业要求（修满学分、毕业论文合格等）与外方学位要求（外方课程成绩达标、语言能力合格等）方可获得双证书；外方学位证书经教育部留学服务中心认证，认证流程公开透明，确保学生学历学位权益得到保障。</w:t>
      </w:r>
    </w:p>
    <w:p w14:paraId="2F793B3E">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经专项核查，项目未发现超规模招生、擅自变更外方合作院校、中介参与核心环节等严重违规行为。</w:t>
      </w:r>
    </w:p>
    <w:p w14:paraId="52286E53">
      <w:pPr>
        <w:spacing w:line="578" w:lineRule="exact"/>
        <w:ind w:firstLine="640"/>
        <w:rPr>
          <w:rFonts w:ascii="黑体" w:hAnsi="黑体" w:eastAsia="黑体" w:cs="黑体"/>
          <w:sz w:val="32"/>
          <w:szCs w:val="32"/>
        </w:rPr>
      </w:pPr>
      <w:r>
        <w:rPr>
          <w:rFonts w:hint="eastAsia" w:ascii="黑体" w:hAnsi="黑体" w:eastAsia="黑体" w:cs="黑体"/>
          <w:sz w:val="32"/>
          <w:szCs w:val="32"/>
        </w:rPr>
        <w:t>八、合作办学辐射成果</w:t>
      </w:r>
    </w:p>
    <w:p w14:paraId="11984E0C">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依托两校中外合作办学项目的牵引作用，白俄罗斯戈梅利国立大学在推动我校国际化发展、深化两校人文交流与科研合作等方面形成了多维度辐射成果。</w:t>
      </w:r>
    </w:p>
    <w:p w14:paraId="48CD4730">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拓展跨境交流网络，在联合培养、学生交换、教师互派、领导互访等方面达成多项合作意向，形成了“一点突破、多点联动”的中白校际交流格局。项目积极推动外方优质师资与教学资源向中国流动，通过合作办学项目常态化选派高水平教师赴菏泽学院授课，助力提升我校相关学科的教学科研水平。</w:t>
      </w:r>
    </w:p>
    <w:p w14:paraId="1E6F96EB">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托合作办学的学科互补优势，赋能教育高质量发展，完善科研协同机制，通过共同申请科研项目、发表学术成果、申请专利、撰写专著等形式，深化跨学科科研协作。促进双边多元互动，厚植中白友好根基，推动人才双向流动，一方面，推荐白俄罗斯优秀学生来华留学、交流实习，为我校注入国际化生源活力。另一方面，为我校学生提供境外学习实践平台，通过“3+1”等培养模式，让学生在白俄罗斯沉浸式体验本土文化。</w:t>
      </w:r>
    </w:p>
    <w:p w14:paraId="0D49CCF1">
      <w:pPr>
        <w:spacing w:line="578" w:lineRule="exact"/>
        <w:ind w:firstLine="640"/>
        <w:rPr>
          <w:rFonts w:ascii="黑体" w:hAnsi="黑体" w:eastAsia="黑体" w:cs="黑体"/>
          <w:sz w:val="32"/>
          <w:szCs w:val="32"/>
        </w:rPr>
      </w:pPr>
      <w:r>
        <w:rPr>
          <w:rFonts w:hint="eastAsia" w:ascii="黑体" w:hAnsi="黑体" w:eastAsia="黑体" w:cs="黑体"/>
          <w:sz w:val="32"/>
          <w:szCs w:val="32"/>
        </w:rPr>
        <w:t>九、形势分析及应对措施</w:t>
      </w:r>
    </w:p>
    <w:p w14:paraId="708F38BF">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办学资质合规且资源互补，双方在师资、实验室资源上形成强强联合。“3+1”培养模式适配人才市场需求，国内三年夯实基础、国外一年深化实践，契合当前学生“低成本国际化”的求学需求，且双学位受教育部认可，利于升学就业。国际合作基础扎实，戈梅利国立大学与多所中国高校有深度合作经验，且参与国际科研项目，为学生提供了跨境学术交流与硕士连读的通道。</w:t>
      </w:r>
    </w:p>
    <w:p w14:paraId="1909654A">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方核心课程采用英语授课，部分学生语言能力不足，且中外教学模式差异可能导致适应困难。开设英语+俄语双语基础课程，针对不同水平学生设置衔接班与强化班，引入外方线上语言前置课程，确保出国前达到外方学术语言要求。</w:t>
      </w:r>
    </w:p>
    <w:p w14:paraId="32DD606E">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课程融合与质量把控，联合修订培养方案，将中方省级重点学科的理论优势与外方实验教学特色结合，建立课程审核机制，确保17门外方核心课程的原版教材同步更新，外方师资授课时长达标。</w:t>
      </w:r>
    </w:p>
    <w:p w14:paraId="1CD92085">
      <w:pPr>
        <w:spacing w:line="578"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建立预适应培训体系，提前开展外方教学模式、文化习俗专题讲座，搭建跨境沟通平台，建立动态评估体系，参照教育部监管要求，定期开展教学质量自查，重点核查学分互认、学位认证流程的规范性，引入第三方评估机构，收集毕业生就业深造反馈以优化项目。提升社会认可度，通过成果展示会、校友分享会等形式，宣传双学位优势及毕业生升学就业案例，加强与跨境企业、科研机构合作，共建实习基地，凸显国际化人才培养特色。</w:t>
      </w:r>
    </w:p>
    <w:p w14:paraId="7B874E10">
      <w:pPr>
        <w:jc w:val="center"/>
        <w:outlineLvl w:val="2"/>
        <w:rPr>
          <w:rFonts w:ascii="仿宋_GB2312" w:hAnsi="仿宋_GB2312" w:eastAsia="仿宋_GB2312"/>
          <w:szCs w:val="30"/>
        </w:rPr>
      </w:pPr>
    </w:p>
    <w:p w14:paraId="45B76593">
      <w:pPr>
        <w:jc w:val="center"/>
        <w:rPr>
          <w:rFonts w:hint="eastAsia" w:ascii="Times New Roman" w:hAnsi="Times New Roman" w:eastAsia="楷体_GB2312"/>
          <w:b/>
          <w:bCs/>
          <w:sz w:val="36"/>
          <w:szCs w:val="36"/>
        </w:rPr>
      </w:pPr>
    </w:p>
    <w:p w14:paraId="50B3A178">
      <w:pPr>
        <w:jc w:val="center"/>
        <w:rPr>
          <w:rFonts w:hint="eastAsia" w:ascii="Times New Roman" w:hAnsi="Times New Roman" w:eastAsia="楷体_GB2312"/>
          <w:b/>
          <w:bCs/>
          <w:sz w:val="36"/>
          <w:szCs w:val="36"/>
        </w:rPr>
      </w:pPr>
    </w:p>
    <w:p w14:paraId="6BB102F2">
      <w:pPr>
        <w:jc w:val="center"/>
        <w:rPr>
          <w:rFonts w:hint="eastAsia" w:ascii="Times New Roman" w:hAnsi="Times New Roman" w:eastAsia="楷体_GB2312"/>
          <w:b/>
          <w:bCs/>
          <w:sz w:val="36"/>
          <w:szCs w:val="36"/>
        </w:rPr>
      </w:pPr>
    </w:p>
    <w:p w14:paraId="37424158">
      <w:pPr>
        <w:jc w:val="center"/>
        <w:rPr>
          <w:rFonts w:hint="eastAsia" w:ascii="Times New Roman" w:hAnsi="Times New Roman" w:eastAsia="楷体_GB2312"/>
          <w:b/>
          <w:bCs/>
          <w:sz w:val="36"/>
          <w:szCs w:val="36"/>
        </w:rPr>
      </w:pPr>
    </w:p>
    <w:p w14:paraId="565D6C40">
      <w:pPr>
        <w:pStyle w:val="2"/>
        <w:keepNext w:val="0"/>
        <w:keepLines w:val="0"/>
        <w:pageBreakBefore w:val="0"/>
        <w:widowControl w:val="0"/>
        <w:kinsoku/>
        <w:wordWrap/>
        <w:overflowPunct/>
        <w:topLinePunct w:val="0"/>
        <w:autoSpaceDE/>
        <w:autoSpaceDN/>
        <w:bidi w:val="0"/>
        <w:adjustRightInd/>
        <w:snapToGrid/>
        <w:spacing w:before="0" w:after="0" w:line="20" w:lineRule="exact"/>
        <w:textAlignment w:val="auto"/>
        <w:rPr>
          <w:rFonts w:hint="eastAsia" w:ascii="仿宋" w:hAnsi="仿宋" w:eastAsia="仿宋" w:cs="仿宋"/>
          <w:b w:val="0"/>
          <w:bCs w:val="0"/>
        </w:rPr>
      </w:pPr>
      <w:bookmarkStart w:id="0" w:name="_GoBack"/>
      <w:bookmarkEnd w:id="0"/>
    </w:p>
    <w:sectPr>
      <w:headerReference r:id="rId3" w:type="default"/>
      <w:footerReference r:id="rId4" w:type="default"/>
      <w:footnotePr>
        <w:numFmt w:val="decimal"/>
      </w:footnotePr>
      <w:endnotePr>
        <w:numFmt w:val="decimal"/>
      </w:endnotePr>
      <w:pgSz w:w="11906" w:h="16838"/>
      <w:pgMar w:top="2098" w:right="1474" w:bottom="1984" w:left="1587"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7C0C1B-B52E-4338-95AD-140DE9F404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6DA8A681-9890-45D3-BC7D-DE798F6B1A06}"/>
  </w:font>
  <w:font w:name="仿宋_GB2312">
    <w:altName w:val="仿宋"/>
    <w:panose1 w:val="02010609030101010101"/>
    <w:charset w:val="86"/>
    <w:family w:val="modern"/>
    <w:pitch w:val="default"/>
    <w:sig w:usb0="00000000" w:usb1="00000000" w:usb2="00000000" w:usb3="00000000" w:csb0="00000000" w:csb1="00000000"/>
    <w:embedRegular r:id="rId3" w:fontKey="{9F523842-20ED-454F-B840-057245CB50F1}"/>
  </w:font>
  <w:font w:name="仿宋">
    <w:panose1 w:val="02010609060101010101"/>
    <w:charset w:val="86"/>
    <w:family w:val="modern"/>
    <w:pitch w:val="default"/>
    <w:sig w:usb0="800002BF" w:usb1="38CF7CFA" w:usb2="00000016" w:usb3="00000000" w:csb0="00040001" w:csb1="00000000"/>
    <w:embedRegular r:id="rId4" w:fontKey="{C31838C5-8564-44C0-8AE4-C4E837FBB561}"/>
  </w:font>
  <w:font w:name="楷体_GB2312">
    <w:altName w:val="楷体"/>
    <w:panose1 w:val="02070309020205020404"/>
    <w:charset w:val="00"/>
    <w:family w:val="modern"/>
    <w:pitch w:val="default"/>
    <w:sig w:usb0="00000000" w:usb1="00000000" w:usb2="00000000" w:usb3="00000000" w:csb0="00000000" w:csb1="00000000"/>
    <w:embedRegular r:id="rId5" w:fontKey="{296E809F-D6E5-4FC1-8B7B-5F9E93F525E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C115">
    <w:pPr>
      <w:jc w:val="both"/>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B000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CB0001">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73ED162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E3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F0F62"/>
    <w:multiLevelType w:val="singleLevel"/>
    <w:tmpl w:val="D5EF0F6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43044"/>
    <w:rsid w:val="229B4DB0"/>
    <w:rsid w:val="2B4C34FD"/>
    <w:rsid w:val="3B57E37C"/>
    <w:rsid w:val="3D3C4E6A"/>
    <w:rsid w:val="4F4368B1"/>
    <w:rsid w:val="B7ED28EC"/>
    <w:rsid w:val="BEFE57AB"/>
    <w:rsid w:val="EF5F0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1"/>
      <w:sz w:val="21"/>
      <w:szCs w:val="22"/>
      <w:lang w:val="en-US" w:eastAsia="zh-CN" w:bidi="ar-SA"/>
    </w:rPr>
  </w:style>
  <w:style w:type="paragraph" w:styleId="2">
    <w:name w:val="heading 2"/>
    <w:qFormat/>
    <w:uiPriority w:val="0"/>
    <w:pPr>
      <w:keepNext/>
      <w:keepLines/>
      <w:widowControl w:val="0"/>
      <w:spacing w:before="260" w:after="260" w:line="415" w:lineRule="auto"/>
      <w:jc w:val="both"/>
      <w:outlineLvl w:val="1"/>
    </w:pPr>
    <w:rPr>
      <w:rFonts w:ascii="Cambria" w:hAnsi="Cambria" w:eastAsia="Calibri" w:cs="Cambria"/>
      <w:b/>
      <w:bCs/>
      <w:kern w:val="1"/>
      <w:sz w:val="32"/>
      <w:szCs w:val="32"/>
      <w:lang w:val="en-US" w:eastAsia="zh-CN" w:bidi="ar-SA"/>
    </w:rPr>
  </w:style>
  <w:style w:type="character" w:default="1" w:styleId="10">
    <w:name w:val="Default Paragraph Font"/>
    <w:qFormat/>
    <w:uiPriority w:val="0"/>
    <w:rPr>
      <w:kern w:val="0"/>
      <w:sz w:val="20"/>
      <w:szCs w:val="20"/>
      <w:lang w:val="en-US" w:eastAsia="zh-CN" w:bidi="ar-SA"/>
    </w:rPr>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qFormat/>
    <w:uiPriority w:val="0"/>
    <w:pPr>
      <w:widowControl w:val="0"/>
      <w:jc w:val="both"/>
    </w:pPr>
    <w:rPr>
      <w:rFonts w:ascii="PingFang SC" w:hAnsi="PingFang SC" w:eastAsia="PingFang SC" w:cs="PingFang SC"/>
      <w:kern w:val="1"/>
      <w:sz w:val="28"/>
      <w:szCs w:val="28"/>
      <w:lang w:val="en-US" w:eastAsia="zh-CN" w:bidi="ar-SA"/>
    </w:rPr>
  </w:style>
  <w:style w:type="paragraph" w:styleId="4">
    <w:name w:val="Date"/>
    <w:qFormat/>
    <w:uiPriority w:val="0"/>
    <w:pPr>
      <w:widowControl w:val="0"/>
      <w:ind w:left="100"/>
      <w:jc w:val="both"/>
    </w:pPr>
    <w:rPr>
      <w:rFonts w:ascii="Calibri" w:hAnsi="Calibri" w:eastAsia="Calibri" w:cs="Times New Roman"/>
      <w:kern w:val="1"/>
      <w:sz w:val="21"/>
      <w:szCs w:val="22"/>
      <w:lang w:val="en-US" w:eastAsia="zh-CN" w:bidi="ar-SA"/>
    </w:rPr>
  </w:style>
  <w:style w:type="paragraph" w:styleId="5">
    <w:name w:val="Balloon Text"/>
    <w:qFormat/>
    <w:uiPriority w:val="0"/>
    <w:pPr>
      <w:widowControl w:val="0"/>
      <w:jc w:val="both"/>
    </w:pPr>
    <w:rPr>
      <w:rFonts w:ascii="Calibri" w:hAnsi="Calibri" w:eastAsia="Calibri" w:cs="Times New Roman"/>
      <w:kern w:val="1"/>
      <w:sz w:val="18"/>
      <w:szCs w:val="18"/>
      <w:lang w:val="en-US" w:eastAsia="zh-CN" w:bidi="ar-SA"/>
    </w:rPr>
  </w:style>
  <w:style w:type="paragraph" w:styleId="6">
    <w:name w:val="footer"/>
    <w:qFormat/>
    <w:uiPriority w:val="0"/>
    <w:pPr>
      <w:widowControl w:val="0"/>
      <w:tabs>
        <w:tab w:val="center" w:pos="4153"/>
        <w:tab w:val="right" w:pos="8306"/>
      </w:tabs>
      <w:jc w:val="left"/>
    </w:pPr>
    <w:rPr>
      <w:rFonts w:ascii="Calibri" w:hAnsi="Calibri" w:eastAsia="Calibri" w:cs="Times New Roman"/>
      <w:kern w:val="1"/>
      <w:sz w:val="18"/>
      <w:szCs w:val="18"/>
      <w:lang w:val="en-US" w:eastAsia="zh-CN" w:bidi="ar-SA"/>
    </w:rPr>
  </w:style>
  <w:style w:type="paragraph" w:styleId="7">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clear"/>
      <w:tabs>
        <w:tab w:val="center" w:pos="4153"/>
        <w:tab w:val="right" w:pos="8306"/>
      </w:tabs>
      <w:jc w:val="center"/>
    </w:pPr>
    <w:rPr>
      <w:rFonts w:ascii="Calibri" w:hAnsi="Calibri" w:eastAsia="Calibri" w:cs="Times New Roman"/>
      <w:kern w:val="1"/>
      <w:sz w:val="18"/>
      <w:szCs w:val="18"/>
      <w:lang w:val="en-US" w:eastAsia="zh-CN" w:bidi="ar-SA"/>
    </w:rPr>
  </w:style>
  <w:style w:type="paragraph" w:styleId="8">
    <w:name w:val="Normal (Web)"/>
    <w:qFormat/>
    <w:uiPriority w:val="0"/>
    <w:pPr>
      <w:widowControl/>
      <w:spacing w:before="100" w:beforeAutospacing="1" w:after="100" w:afterAutospacing="1"/>
      <w:jc w:val="left"/>
    </w:pPr>
    <w:rPr>
      <w:rFonts w:ascii="宋体" w:hAnsi="宋体" w:eastAsia="宋体" w:cs="宋体"/>
      <w:kern w:val="1"/>
      <w:sz w:val="24"/>
      <w:szCs w:val="24"/>
      <w:lang w:val="en-US" w:eastAsia="zh-CN" w:bidi="ar-SA"/>
    </w:rPr>
  </w:style>
  <w:style w:type="character" w:styleId="11">
    <w:name w:val="Strong"/>
    <w:qFormat/>
    <w:uiPriority w:val="0"/>
    <w:rPr>
      <w:b/>
    </w:rPr>
  </w:style>
  <w:style w:type="character" w:styleId="12">
    <w:name w:val="FollowedHyperlink"/>
    <w:qFormat/>
    <w:uiPriority w:val="0"/>
    <w:rPr>
      <w:color w:val="800080"/>
      <w:u w:val="single" w:color="auto"/>
    </w:rPr>
  </w:style>
  <w:style w:type="character" w:styleId="13">
    <w:name w:val="Hyperlink"/>
    <w:qFormat/>
    <w:uiPriority w:val="0"/>
    <w:rPr>
      <w:color w:val="0000FF"/>
      <w:u w:val="single" w:color="auto"/>
    </w:rPr>
  </w:style>
  <w:style w:type="paragraph" w:customStyle="1" w:styleId="14">
    <w:name w:val="annotation text"/>
    <w:qFormat/>
    <w:uiPriority w:val="0"/>
    <w:pPr>
      <w:widowControl w:val="0"/>
      <w:jc w:val="left"/>
    </w:pPr>
    <w:rPr>
      <w:rFonts w:ascii="Calibri" w:hAnsi="Calibri" w:eastAsia="Calibri" w:cs="Times New Roman"/>
      <w:kern w:val="1"/>
      <w:sz w:val="21"/>
      <w:szCs w:val="22"/>
      <w:lang w:val="en-US" w:eastAsia="zh-CN" w:bidi="ar-SA"/>
    </w:rPr>
  </w:style>
  <w:style w:type="paragraph" w:customStyle="1" w:styleId="15">
    <w:name w:val="annotation subject"/>
    <w:basedOn w:val="14"/>
    <w:next w:val="14"/>
    <w:qFormat/>
    <w:uiPriority w:val="0"/>
    <w:rPr>
      <w:b/>
      <w:bCs/>
    </w:rPr>
  </w:style>
  <w:style w:type="paragraph" w:styleId="16">
    <w:name w:val="List Paragraph"/>
    <w:qFormat/>
    <w:uiPriority w:val="0"/>
    <w:pPr>
      <w:widowControl w:val="0"/>
      <w:ind w:firstLine="420"/>
      <w:jc w:val="both"/>
    </w:pPr>
    <w:rPr>
      <w:rFonts w:ascii="Calibri" w:hAnsi="Calibri" w:eastAsia="Calibri" w:cs="Times New Roman"/>
      <w:kern w:val="1"/>
      <w:sz w:val="21"/>
      <w:szCs w:val="22"/>
      <w:lang w:val="en-US" w:eastAsia="zh-CN" w:bidi="ar-SA"/>
    </w:rPr>
  </w:style>
  <w:style w:type="paragraph" w:styleId="17">
    <w:name w:val="No Spacing"/>
    <w:qFormat/>
    <w:uiPriority w:val="0"/>
    <w:pPr>
      <w:widowControl/>
      <w:jc w:val="left"/>
    </w:pPr>
    <w:rPr>
      <w:rFonts w:ascii="Times New Roman" w:hAnsi="Times New Roman" w:eastAsia="Calibri" w:cs="Times New Roman"/>
      <w:kern w:val="0"/>
      <w:sz w:val="22"/>
      <w:szCs w:val="22"/>
      <w:lang w:val="en-US" w:eastAsia="zh-CN" w:bidi="ar-SA"/>
    </w:rPr>
  </w:style>
  <w:style w:type="character" w:customStyle="1" w:styleId="18">
    <w:name w:val="annotation reference"/>
    <w:qFormat/>
    <w:uiPriority w:val="0"/>
    <w:rPr>
      <w:sz w:val="21"/>
      <w:szCs w:val="21"/>
    </w:rPr>
  </w:style>
  <w:style w:type="character" w:customStyle="1" w:styleId="19">
    <w:name w:val="日期 Char"/>
    <w:qFormat/>
    <w:uiPriority w:val="0"/>
  </w:style>
  <w:style w:type="character" w:customStyle="1" w:styleId="20">
    <w:name w:val="批注框文本 Char"/>
    <w:qFormat/>
    <w:uiPriority w:val="0"/>
    <w:rPr>
      <w:sz w:val="18"/>
      <w:szCs w:val="18"/>
    </w:rPr>
  </w:style>
  <w:style w:type="character" w:customStyle="1" w:styleId="21">
    <w:name w:val="页眉 Char"/>
    <w:qFormat/>
    <w:uiPriority w:val="0"/>
    <w:rPr>
      <w:sz w:val="18"/>
      <w:szCs w:val="18"/>
    </w:rPr>
  </w:style>
  <w:style w:type="character" w:customStyle="1" w:styleId="22">
    <w:name w:val="页脚 Char"/>
    <w:qFormat/>
    <w:uiPriority w:val="0"/>
    <w:rPr>
      <w:sz w:val="18"/>
      <w:szCs w:val="18"/>
    </w:rPr>
  </w:style>
  <w:style w:type="character" w:customStyle="1" w:styleId="23">
    <w:name w:val="批注文字 Char"/>
    <w:qFormat/>
    <w:uiPriority w:val="0"/>
    <w:rPr>
      <w:kern w:val="1"/>
      <w:sz w:val="21"/>
      <w:szCs w:val="22"/>
    </w:rPr>
  </w:style>
  <w:style w:type="character" w:customStyle="1" w:styleId="24">
    <w:name w:val="批注主题 Char"/>
    <w:qFormat/>
    <w:uiPriority w:val="0"/>
    <w:rPr>
      <w:b/>
      <w:bCs/>
      <w:kern w:val="1"/>
      <w:sz w:val="21"/>
      <w:szCs w:val="22"/>
    </w:rPr>
  </w:style>
  <w:style w:type="character" w:customStyle="1" w:styleId="25">
    <w:name w:val="标题 2 Char"/>
    <w:qFormat/>
    <w:uiPriority w:val="0"/>
    <w:rPr>
      <w:rFonts w:ascii="Cambria" w:hAnsi="Cambria" w:cs="Cambria"/>
      <w:b/>
      <w:bCs/>
      <w:kern w:val="1"/>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libri"/>
        <a:cs typeface="Cambria"/>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7855</Words>
  <Characters>8083</Characters>
  <TotalTime>16</TotalTime>
  <ScaleCrop>false</ScaleCrop>
  <LinksUpToDate>false</LinksUpToDate>
  <CharactersWithSpaces>8092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2021-03-02T08:39:00Z</dcterms:created>
  <dc:creator>xgch</dc:creator>
  <cp:lastModifiedBy>静谧</cp:lastModifiedBy>
  <cp:lastPrinted>2026-01-07T07:19:00Z</cp:lastPrinted>
  <dcterms:modified xsi:type="dcterms:W3CDTF">2026-01-07T02:36:07Z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22B2AE8B8D6E4F22BB05337DE42D14C4_13</vt:lpwstr>
  </property>
  <property fmtid="{D5CDD505-2E9C-101B-9397-08002B2CF9AE}" pid="4" name="KSOTemplateDocerSaveRecord">
    <vt:lpwstr>eyJoZGlkIjoiMWUwM2QwOGZmODZiNDk4MWJiMDFlZjE5MGVjODI4OTgiLCJ1c2VySWQiOiIyNjY3NDI4NDcifQ==</vt:lpwstr>
  </property>
</Properties>
</file>